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38irvarrjm94" w:id="0"/>
      <w:bookmarkEnd w:id="0"/>
      <w:r w:rsidDel="00000000" w:rsidR="00000000" w:rsidRPr="00000000">
        <w:rPr>
          <w:rtl w:val="0"/>
        </w:rPr>
        <w:t xml:space="preserve">My Plan to Manage Frustration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When an infant in My Care Cannot Stop Crying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Directions: </w:t>
      </w:r>
      <w:r w:rsidDel="00000000" w:rsidR="00000000" w:rsidRPr="00000000">
        <w:rPr>
          <w:rtl w:val="0"/>
        </w:rPr>
        <w:t xml:space="preserve">Think about how you will handle your frustration when you are unable to soothe a crying infant. Remember that you are not alone; everyone gets frustrated from time to time. Having a plan for how to handle your reaction is the best defense against making a wrong choice in the midst of frustration.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an infant in my care cannot stop crying and I have tried meeting 1. his or her basic needs, I will try the following activities to help soothe him or her: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the infant in my care cannot be soothed and my frustration is increasing, he or she will be safe if I put him or her in one of these places…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...and I can do a few of the following things for myself: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I feel I need to talk to someone because of the stress of being with a crying infant, I can call one or all of these people: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I need a break from being with the infant I am caring for, I can call one or all of these people.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